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6C1C8" w14:textId="03C4DF84" w:rsidR="00C2649A" w:rsidRDefault="00B4737B">
      <w:bookmarkStart w:id="0" w:name="_GoBack"/>
      <w:bookmarkEnd w:id="0"/>
      <w:r>
        <w:t>Annex H: UNDP Risk Log</w:t>
      </w:r>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B4737B" w:rsidRPr="00307C3C" w14:paraId="63AE2B7C" w14:textId="77777777" w:rsidTr="007175D4">
        <w:trPr>
          <w:tblHeader/>
          <w:jc w:val="center"/>
        </w:trPr>
        <w:tc>
          <w:tcPr>
            <w:tcW w:w="1802" w:type="dxa"/>
            <w:shd w:val="clear" w:color="auto" w:fill="E7E6E6" w:themeFill="background2"/>
          </w:tcPr>
          <w:p w14:paraId="449D822D" w14:textId="77777777" w:rsidR="00B4737B" w:rsidRPr="00307C3C" w:rsidRDefault="00B4737B" w:rsidP="007175D4">
            <w:pPr>
              <w:jc w:val="center"/>
              <w:rPr>
                <w:rFonts w:asciiTheme="minorHAnsi" w:hAnsiTheme="minorHAnsi" w:cstheme="minorHAnsi"/>
                <w:b/>
                <w:sz w:val="16"/>
                <w:szCs w:val="16"/>
              </w:rPr>
            </w:pPr>
            <w:bookmarkStart w:id="1" w:name="_Hlk508055450"/>
            <w:r w:rsidRPr="00307C3C">
              <w:rPr>
                <w:rFonts w:asciiTheme="minorHAnsi" w:hAnsiTheme="minorHAnsi" w:cstheme="minorHAnsi"/>
                <w:b/>
                <w:sz w:val="16"/>
                <w:szCs w:val="16"/>
              </w:rPr>
              <w:t>Risk</w:t>
            </w:r>
          </w:p>
        </w:tc>
        <w:tc>
          <w:tcPr>
            <w:tcW w:w="1170" w:type="dxa"/>
            <w:shd w:val="clear" w:color="auto" w:fill="E7E6E6" w:themeFill="background2"/>
          </w:tcPr>
          <w:p w14:paraId="6997BFAD"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7E6E6" w:themeFill="background2"/>
          </w:tcPr>
          <w:p w14:paraId="7DA14D0D"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7E6E6" w:themeFill="background2"/>
          </w:tcPr>
          <w:p w14:paraId="3015D992"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7E6E6" w:themeFill="background2"/>
          </w:tcPr>
          <w:p w14:paraId="5148749A"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B4737B" w:rsidRPr="00307C3C" w14:paraId="288089DB" w14:textId="77777777" w:rsidTr="007175D4">
        <w:trPr>
          <w:jc w:val="center"/>
        </w:trPr>
        <w:tc>
          <w:tcPr>
            <w:tcW w:w="1802" w:type="dxa"/>
            <w:shd w:val="clear" w:color="auto" w:fill="E7E6E6" w:themeFill="background2"/>
          </w:tcPr>
          <w:p w14:paraId="2BC71156"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7E6E6" w:themeFill="background2"/>
          </w:tcPr>
          <w:p w14:paraId="0EF0C931"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7E6E6" w:themeFill="background2"/>
          </w:tcPr>
          <w:p w14:paraId="46631213"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w:t>
            </w:r>
            <w:proofErr w:type="gramStart"/>
            <w:r w:rsidRPr="00307C3C">
              <w:rPr>
                <w:rFonts w:asciiTheme="minorHAnsi" w:hAnsiTheme="minorHAnsi" w:cstheme="minorHAnsi"/>
                <w:sz w:val="16"/>
                <w:szCs w:val="16"/>
              </w:rPr>
              <w:t>Impact</w:t>
            </w:r>
            <w:proofErr w:type="gramEnd"/>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7E6E6" w:themeFill="background2"/>
          </w:tcPr>
          <w:p w14:paraId="61B9425C"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7E6E6" w:themeFill="background2"/>
          </w:tcPr>
          <w:p w14:paraId="1B33AD00"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B4737B" w:rsidRPr="00307C3C" w14:paraId="2520A24E" w14:textId="77777777" w:rsidTr="007175D4">
        <w:trPr>
          <w:jc w:val="center"/>
        </w:trPr>
        <w:tc>
          <w:tcPr>
            <w:tcW w:w="1802" w:type="dxa"/>
          </w:tcPr>
          <w:p w14:paraId="66355A84"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27DE707E"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1B8E52E4"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3E0EA263" w14:textId="77777777" w:rsidR="00B4737B" w:rsidRPr="00307C3C" w:rsidRDefault="00B4737B" w:rsidP="007175D4">
            <w:pPr>
              <w:jc w:val="center"/>
              <w:rPr>
                <w:rFonts w:asciiTheme="minorHAnsi" w:hAnsiTheme="minorHAnsi" w:cstheme="minorHAnsi"/>
                <w:sz w:val="16"/>
                <w:szCs w:val="16"/>
              </w:rPr>
            </w:pPr>
          </w:p>
          <w:p w14:paraId="52787439"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720F9AC0"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proofErr w:type="gramStart"/>
            <w:r w:rsidRPr="00307C3C">
              <w:rPr>
                <w:rFonts w:asciiTheme="minorHAnsi" w:hAnsiTheme="minorHAnsi" w:cstheme="minorHAnsi"/>
                <w:sz w:val="16"/>
                <w:szCs w:val="16"/>
                <w:lang w:eastAsia="zh-CN"/>
              </w:rPr>
              <w:t>will  be</w:t>
            </w:r>
            <w:proofErr w:type="gramEnd"/>
            <w:r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5BB0B51B"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Pr>
                <w:rFonts w:asciiTheme="minorHAnsi" w:hAnsiTheme="minorHAnsi" w:cstheme="minorHAnsi"/>
                <w:sz w:val="16"/>
                <w:szCs w:val="16"/>
              </w:rPr>
              <w:t>, farmers</w:t>
            </w:r>
          </w:p>
        </w:tc>
      </w:tr>
      <w:tr w:rsidR="00B4737B" w:rsidRPr="00307C3C" w14:paraId="27D875DD" w14:textId="77777777" w:rsidTr="007175D4">
        <w:trPr>
          <w:jc w:val="center"/>
        </w:trPr>
        <w:tc>
          <w:tcPr>
            <w:tcW w:w="1802" w:type="dxa"/>
          </w:tcPr>
          <w:p w14:paraId="6FFF477A"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2F65F58D"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758A0127"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w:t>
            </w:r>
            <w:r>
              <w:rPr>
                <w:rFonts w:asciiTheme="minorHAnsi" w:hAnsiTheme="minorHAnsi" w:cstheme="minorHAnsi"/>
                <w:sz w:val="16"/>
                <w:szCs w:val="16"/>
              </w:rPr>
              <w:t>2</w:t>
            </w:r>
            <w:r w:rsidRPr="00307C3C">
              <w:rPr>
                <w:rFonts w:asciiTheme="minorHAnsi" w:hAnsiTheme="minorHAnsi" w:cstheme="minorHAnsi"/>
                <w:sz w:val="16"/>
                <w:szCs w:val="16"/>
              </w:rPr>
              <w:t>; P=</w:t>
            </w:r>
            <w:r>
              <w:rPr>
                <w:rFonts w:asciiTheme="minorHAnsi" w:hAnsiTheme="minorHAnsi" w:cstheme="minorHAnsi"/>
                <w:sz w:val="16"/>
                <w:szCs w:val="16"/>
              </w:rPr>
              <w:t>2</w:t>
            </w:r>
          </w:p>
          <w:p w14:paraId="4A5B3AB1" w14:textId="77777777" w:rsidR="00B4737B" w:rsidRPr="00307C3C" w:rsidRDefault="00B4737B" w:rsidP="007175D4">
            <w:pPr>
              <w:jc w:val="center"/>
              <w:rPr>
                <w:rFonts w:asciiTheme="minorHAnsi" w:hAnsiTheme="minorHAnsi" w:cstheme="minorHAnsi"/>
                <w:sz w:val="16"/>
                <w:szCs w:val="16"/>
              </w:rPr>
            </w:pPr>
          </w:p>
          <w:p w14:paraId="28E76627" w14:textId="77777777" w:rsidR="00B4737B" w:rsidRPr="00307C3C" w:rsidRDefault="00B4737B" w:rsidP="007175D4">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5046B571"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139" w:type="dxa"/>
          </w:tcPr>
          <w:p w14:paraId="43AB90A2"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B4737B" w:rsidRPr="00307C3C" w14:paraId="3012A431" w14:textId="77777777" w:rsidTr="007175D4">
        <w:trPr>
          <w:jc w:val="center"/>
        </w:trPr>
        <w:tc>
          <w:tcPr>
            <w:tcW w:w="1802" w:type="dxa"/>
          </w:tcPr>
          <w:p w14:paraId="362E5F0D"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2C013F4E"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46E6550C"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0D5992AA"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Hubei DARA, a major provincial policymaker in agriculture.  Both DARA and the program level implementing partner MARA, are committed to expanding knowledge and update of agrobiodiversity management in </w:t>
            </w:r>
            <w:r>
              <w:rPr>
                <w:rFonts w:asciiTheme="minorHAnsi" w:hAnsiTheme="minorHAnsi" w:cstheme="minorHAnsi"/>
                <w:sz w:val="16"/>
                <w:szCs w:val="16"/>
                <w:lang w:eastAsia="zh-CN"/>
              </w:rPr>
              <w:t>Hubei Province</w:t>
            </w:r>
            <w:r w:rsidRPr="00307C3C">
              <w:rPr>
                <w:rFonts w:asciiTheme="minorHAnsi" w:hAnsiTheme="minorHAnsi" w:cstheme="minorHAnsi"/>
                <w:sz w:val="16"/>
                <w:szCs w:val="16"/>
                <w:lang w:eastAsia="zh-CN"/>
              </w:rPr>
              <w:t xml:space="preserve"> and throughout China. DARA will be able to integrate the directions of this project within broader policy directions and sector plans. The project will also raise awareness of provincial decision makers on the importance of in-situ agrobiodiversity conservation to food security. Moreover, as the water source of the Middle Route of South-to-North Water Transfer Project, </w:t>
            </w:r>
            <w:proofErr w:type="spellStart"/>
            <w:r w:rsidRPr="00307C3C">
              <w:rPr>
                <w:rFonts w:asciiTheme="minorHAnsi" w:hAnsiTheme="minorHAnsi" w:cstheme="minorHAnsi"/>
                <w:sz w:val="16"/>
                <w:szCs w:val="16"/>
                <w:lang w:eastAsia="zh-CN"/>
              </w:rPr>
              <w:t>Danjiangkou</w:t>
            </w:r>
            <w:proofErr w:type="spellEnd"/>
            <w:r w:rsidRPr="00307C3C">
              <w:rPr>
                <w:rFonts w:asciiTheme="minorHAnsi" w:hAnsiTheme="minorHAnsi" w:cstheme="minorHAnsi"/>
                <w:sz w:val="16"/>
                <w:szCs w:val="16"/>
                <w:lang w:eastAsia="zh-CN"/>
              </w:rPr>
              <w:t xml:space="preserve"> Reservoir Area has been listed as a national key ecological function zone which further underscores the need for agricultural approaches that are consistent with the ecological protection objectives in this area and other sensitive areas.</w:t>
            </w:r>
          </w:p>
        </w:tc>
        <w:tc>
          <w:tcPr>
            <w:tcW w:w="1139" w:type="dxa"/>
          </w:tcPr>
          <w:p w14:paraId="405C4D6A"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B4737B" w:rsidRPr="00307C3C" w14:paraId="7AA959B1" w14:textId="77777777" w:rsidTr="007175D4">
        <w:trPr>
          <w:jc w:val="center"/>
        </w:trPr>
        <w:tc>
          <w:tcPr>
            <w:tcW w:w="1802" w:type="dxa"/>
          </w:tcPr>
          <w:p w14:paraId="5631A69E"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w:t>
            </w:r>
            <w:r w:rsidRPr="00307C3C">
              <w:rPr>
                <w:rFonts w:asciiTheme="minorHAnsi" w:hAnsiTheme="minorHAnsi" w:cstheme="minorHAnsi"/>
                <w:sz w:val="16"/>
                <w:szCs w:val="16"/>
                <w:lang w:eastAsia="zh-CN"/>
              </w:rPr>
              <w:lastRenderedPageBreak/>
              <w:t xml:space="preserve">prospects of </w:t>
            </w:r>
            <w:r>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GRFA products.</w:t>
            </w:r>
          </w:p>
        </w:tc>
        <w:tc>
          <w:tcPr>
            <w:tcW w:w="1170" w:type="dxa"/>
          </w:tcPr>
          <w:p w14:paraId="49D1EBCA"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lastRenderedPageBreak/>
              <w:t>Strategic</w:t>
            </w:r>
          </w:p>
        </w:tc>
        <w:tc>
          <w:tcPr>
            <w:tcW w:w="1947" w:type="dxa"/>
            <w:shd w:val="clear" w:color="auto" w:fill="92D050"/>
          </w:tcPr>
          <w:p w14:paraId="154F8FE8"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285083DC" w14:textId="77777777" w:rsidR="00B4737B" w:rsidRPr="00307C3C" w:rsidRDefault="00B4737B" w:rsidP="007175D4">
            <w:pPr>
              <w:jc w:val="center"/>
              <w:rPr>
                <w:rFonts w:asciiTheme="minorHAnsi" w:hAnsiTheme="minorHAnsi" w:cstheme="minorHAnsi"/>
                <w:sz w:val="16"/>
                <w:szCs w:val="16"/>
              </w:rPr>
            </w:pPr>
          </w:p>
          <w:p w14:paraId="33DF5AD3"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1AAC2A92"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strengthen these and establish new markets linked to eco-tourism and through certification and branding schemes. The project will focus on developing these identified opportunities. </w:t>
            </w:r>
            <w:r w:rsidRPr="00307C3C">
              <w:rPr>
                <w:rFonts w:asciiTheme="minorHAnsi" w:hAnsiTheme="minorHAnsi" w:cstheme="minorHAnsi"/>
                <w:sz w:val="16"/>
                <w:szCs w:val="16"/>
                <w:lang w:eastAsia="zh-CN"/>
              </w:rPr>
              <w:lastRenderedPageBreak/>
              <w:t xml:space="preserve">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59E9D551"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lastRenderedPageBreak/>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B4737B" w:rsidRPr="00307C3C" w14:paraId="28AE6BAE" w14:textId="77777777" w:rsidTr="007175D4">
        <w:trPr>
          <w:jc w:val="center"/>
        </w:trPr>
        <w:tc>
          <w:tcPr>
            <w:tcW w:w="1802" w:type="dxa"/>
          </w:tcPr>
          <w:p w14:paraId="4DE2D043" w14:textId="77777777" w:rsidR="00B4737B" w:rsidRPr="00307C3C" w:rsidRDefault="00B4737B" w:rsidP="007175D4">
            <w:pPr>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15C8903"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2600F66F"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0DFAB899" w14:textId="77777777" w:rsidR="00B4737B" w:rsidRPr="00307C3C" w:rsidRDefault="00B4737B" w:rsidP="007175D4">
            <w:pPr>
              <w:jc w:val="center"/>
              <w:rPr>
                <w:rFonts w:asciiTheme="minorHAnsi" w:hAnsiTheme="minorHAnsi" w:cstheme="minorHAnsi"/>
                <w:sz w:val="16"/>
                <w:szCs w:val="16"/>
              </w:rPr>
            </w:pPr>
          </w:p>
          <w:p w14:paraId="668888DE"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1EF78AD6"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1995F395" w14:textId="77777777" w:rsidR="00B4737B" w:rsidRPr="00307C3C" w:rsidRDefault="00B4737B" w:rsidP="007175D4">
            <w:pPr>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B4737B" w:rsidRPr="00307C3C" w14:paraId="1BAC4577" w14:textId="77777777" w:rsidTr="007175D4">
        <w:trPr>
          <w:jc w:val="center"/>
        </w:trPr>
        <w:tc>
          <w:tcPr>
            <w:tcW w:w="1802" w:type="dxa"/>
          </w:tcPr>
          <w:p w14:paraId="4665AFCD"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46163126"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C686B4D"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CE9436A" w14:textId="77777777" w:rsidR="00B4737B" w:rsidRPr="00307C3C" w:rsidRDefault="00B4737B" w:rsidP="007175D4">
            <w:pPr>
              <w:jc w:val="center"/>
              <w:rPr>
                <w:rFonts w:asciiTheme="minorHAnsi" w:hAnsiTheme="minorHAnsi" w:cstheme="minorHAnsi"/>
                <w:sz w:val="16"/>
                <w:szCs w:val="16"/>
              </w:rPr>
            </w:pPr>
          </w:p>
          <w:p w14:paraId="0BCBF634"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AB0E150" w14:textId="77777777" w:rsidR="00B4737B" w:rsidRPr="00307C3C" w:rsidRDefault="00B4737B" w:rsidP="007175D4">
            <w:pPr>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2"/>
            <w:r w:rsidRPr="00307C3C">
              <w:rPr>
                <w:rFonts w:asciiTheme="minorHAnsi" w:hAnsiTheme="minorHAnsi" w:cstheme="minorHAnsi"/>
                <w:sz w:val="16"/>
                <w:szCs w:val="16"/>
                <w:lang w:eastAsia="zh-CN"/>
              </w:rPr>
              <w:t xml:space="preserve">. The LGU focal points will be members on the </w:t>
            </w:r>
            <w:r>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5EC08B49"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B4737B" w:rsidRPr="00307C3C" w14:paraId="6567D9CB" w14:textId="77777777" w:rsidTr="007175D4">
        <w:trPr>
          <w:jc w:val="center"/>
        </w:trPr>
        <w:tc>
          <w:tcPr>
            <w:tcW w:w="1802" w:type="dxa"/>
          </w:tcPr>
          <w:p w14:paraId="3AF1A6D2"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7.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not realized as planned.</w:t>
            </w:r>
          </w:p>
        </w:tc>
        <w:tc>
          <w:tcPr>
            <w:tcW w:w="1170" w:type="dxa"/>
          </w:tcPr>
          <w:p w14:paraId="63998FCB"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52E3FDB"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A54779F" w14:textId="77777777" w:rsidR="00B4737B" w:rsidRPr="00307C3C" w:rsidRDefault="00B4737B" w:rsidP="007175D4">
            <w:pPr>
              <w:jc w:val="center"/>
              <w:rPr>
                <w:rFonts w:asciiTheme="minorHAnsi" w:hAnsiTheme="minorHAnsi" w:cstheme="minorHAnsi"/>
                <w:sz w:val="16"/>
                <w:szCs w:val="16"/>
              </w:rPr>
            </w:pPr>
          </w:p>
          <w:p w14:paraId="057DD80C"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47D5EA33" w14:textId="77777777" w:rsidR="00B4737B" w:rsidRPr="00307C3C" w:rsidRDefault="00B4737B" w:rsidP="007175D4">
            <w:pPr>
              <w:rPr>
                <w:rFonts w:asciiTheme="minorHAnsi" w:hAnsiTheme="minorHAnsi" w:cstheme="minorHAnsi"/>
                <w:sz w:val="16"/>
                <w:szCs w:val="16"/>
              </w:rPr>
            </w:pP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partners and activities: (1) the Project Steering Committee, (2) the GRFA Intersectoral Coordination Committee and (3) the three local </w:t>
            </w:r>
            <w:r>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139" w:type="dxa"/>
          </w:tcPr>
          <w:p w14:paraId="748675F3"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B4737B" w:rsidRPr="00307C3C" w14:paraId="0CF2BD57" w14:textId="77777777" w:rsidTr="007175D4">
        <w:trPr>
          <w:jc w:val="center"/>
        </w:trPr>
        <w:tc>
          <w:tcPr>
            <w:tcW w:w="1802" w:type="dxa"/>
          </w:tcPr>
          <w:p w14:paraId="5C1B3DF3"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1C248120"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3F7A670A"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5CFD03C" w14:textId="77777777" w:rsidR="00B4737B" w:rsidRPr="00307C3C" w:rsidRDefault="00B4737B" w:rsidP="007175D4">
            <w:pPr>
              <w:jc w:val="center"/>
              <w:rPr>
                <w:rFonts w:asciiTheme="minorHAnsi" w:hAnsiTheme="minorHAnsi" w:cstheme="minorHAnsi"/>
                <w:sz w:val="16"/>
                <w:szCs w:val="16"/>
              </w:rPr>
            </w:pPr>
          </w:p>
          <w:p w14:paraId="20747354"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E7915B7"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7642C9CB"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The project will align with relevant provincial strategies to support disaster risk assessment and mitigation.</w:t>
            </w:r>
          </w:p>
        </w:tc>
        <w:tc>
          <w:tcPr>
            <w:tcW w:w="1139" w:type="dxa"/>
          </w:tcPr>
          <w:p w14:paraId="7B447969"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B4737B" w:rsidRPr="00307C3C" w14:paraId="4C6571B7" w14:textId="77777777" w:rsidTr="007175D4">
        <w:trPr>
          <w:jc w:val="center"/>
        </w:trPr>
        <w:tc>
          <w:tcPr>
            <w:tcW w:w="1802" w:type="dxa"/>
          </w:tcPr>
          <w:p w14:paraId="57566063"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w:t>
            </w:r>
            <w:proofErr w:type="gramStart"/>
            <w:r w:rsidRPr="00307C3C">
              <w:rPr>
                <w:rFonts w:asciiTheme="minorHAnsi" w:hAnsiTheme="minorHAnsi" w:cstheme="minorHAnsi"/>
                <w:sz w:val="16"/>
                <w:szCs w:val="16"/>
              </w:rPr>
              <w:t>USD:CNY</w:t>
            </w:r>
            <w:proofErr w:type="gramEnd"/>
            <w:r w:rsidRPr="00307C3C">
              <w:rPr>
                <w:rFonts w:asciiTheme="minorHAnsi" w:hAnsiTheme="minorHAnsi" w:cstheme="minorHAnsi"/>
                <w:sz w:val="16"/>
                <w:szCs w:val="16"/>
              </w:rPr>
              <w:t xml:space="preserve"> exchange rates. </w:t>
            </w:r>
          </w:p>
        </w:tc>
        <w:tc>
          <w:tcPr>
            <w:tcW w:w="1170" w:type="dxa"/>
          </w:tcPr>
          <w:p w14:paraId="27BC8F22"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07CBC4AD"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2F44D29A" w14:textId="77777777" w:rsidR="00B4737B" w:rsidRPr="00307C3C" w:rsidRDefault="00B4737B" w:rsidP="007175D4">
            <w:pPr>
              <w:jc w:val="center"/>
              <w:rPr>
                <w:rFonts w:asciiTheme="minorHAnsi" w:hAnsiTheme="minorHAnsi" w:cstheme="minorHAnsi"/>
                <w:sz w:val="16"/>
                <w:szCs w:val="16"/>
              </w:rPr>
            </w:pPr>
          </w:p>
          <w:p w14:paraId="7E5028CC" w14:textId="77777777" w:rsidR="00B4737B" w:rsidRPr="00307C3C" w:rsidRDefault="00B4737B" w:rsidP="007175D4">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643A058E"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20F404B6"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B4737B" w:rsidRPr="00307C3C" w14:paraId="20E99135" w14:textId="77777777" w:rsidTr="007175D4">
        <w:trPr>
          <w:jc w:val="center"/>
        </w:trPr>
        <w:tc>
          <w:tcPr>
            <w:tcW w:w="9864" w:type="dxa"/>
            <w:gridSpan w:val="5"/>
            <w:shd w:val="clear" w:color="auto" w:fill="E7E6E6" w:themeFill="background2"/>
          </w:tcPr>
          <w:p w14:paraId="6AC84AC6"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Pr>
                <w:rFonts w:asciiTheme="minorHAnsi" w:hAnsiTheme="minorHAnsi" w:cstheme="minorHAnsi"/>
                <w:b/>
                <w:sz w:val="16"/>
                <w:szCs w:val="16"/>
              </w:rPr>
              <w:t>D</w:t>
            </w:r>
            <w:r w:rsidRPr="00307C3C">
              <w:rPr>
                <w:rFonts w:asciiTheme="minorHAnsi" w:hAnsiTheme="minorHAnsi" w:cstheme="minorHAnsi"/>
                <w:b/>
                <w:sz w:val="16"/>
                <w:szCs w:val="16"/>
              </w:rPr>
              <w:t>):</w:t>
            </w:r>
          </w:p>
        </w:tc>
      </w:tr>
      <w:tr w:rsidR="00B4737B" w:rsidRPr="00307C3C" w14:paraId="02D6DE31" w14:textId="77777777" w:rsidTr="007175D4">
        <w:trPr>
          <w:jc w:val="center"/>
        </w:trPr>
        <w:tc>
          <w:tcPr>
            <w:tcW w:w="1802" w:type="dxa"/>
          </w:tcPr>
          <w:p w14:paraId="3B745AB9" w14:textId="77777777" w:rsidR="00B4737B" w:rsidRPr="00307C3C" w:rsidRDefault="00B4737B" w:rsidP="007175D4">
            <w:pPr>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79C93515" w14:textId="77777777" w:rsidR="00B4737B" w:rsidRPr="00307C3C" w:rsidRDefault="00B4737B" w:rsidP="007175D4">
            <w:pPr>
              <w:rPr>
                <w:rFonts w:eastAsia="Times New Roman"/>
                <w:sz w:val="16"/>
                <w:szCs w:val="16"/>
              </w:rPr>
            </w:pPr>
          </w:p>
          <w:p w14:paraId="37066A94" w14:textId="77777777" w:rsidR="00B4737B" w:rsidRPr="00307C3C" w:rsidRDefault="00B4737B" w:rsidP="007175D4">
            <w:pPr>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0C3384AA"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2F751984"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3A60B9CA" w14:textId="77777777" w:rsidR="00B4737B" w:rsidRPr="00307C3C" w:rsidRDefault="00B4737B" w:rsidP="007175D4">
            <w:pPr>
              <w:jc w:val="center"/>
              <w:rPr>
                <w:rFonts w:asciiTheme="minorHAnsi" w:hAnsiTheme="minorHAnsi" w:cstheme="minorHAnsi"/>
                <w:b/>
                <w:sz w:val="16"/>
                <w:szCs w:val="16"/>
              </w:rPr>
            </w:pPr>
          </w:p>
          <w:p w14:paraId="2BC4563F"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62D7CE4" w14:textId="77777777" w:rsidR="00B4737B" w:rsidRPr="00307C3C" w:rsidRDefault="00B4737B" w:rsidP="007175D4">
            <w:pPr>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Pr>
                <w:b/>
                <w:sz w:val="16"/>
                <w:szCs w:val="16"/>
              </w:rPr>
              <w:t>G</w:t>
            </w:r>
            <w:r w:rsidRPr="00307C3C">
              <w:rPr>
                <w:sz w:val="16"/>
                <w:szCs w:val="16"/>
              </w:rPr>
              <w:t>) for further details of specific project gender mainstreaming actions and targets.</w:t>
            </w:r>
          </w:p>
        </w:tc>
        <w:tc>
          <w:tcPr>
            <w:tcW w:w="1139" w:type="dxa"/>
          </w:tcPr>
          <w:p w14:paraId="3A1CEDAD"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B4737B" w:rsidRPr="00307C3C" w14:paraId="618A3697" w14:textId="77777777" w:rsidTr="007175D4">
        <w:trPr>
          <w:jc w:val="center"/>
        </w:trPr>
        <w:tc>
          <w:tcPr>
            <w:tcW w:w="1802" w:type="dxa"/>
          </w:tcPr>
          <w:p w14:paraId="0816B733"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6A7ED840" w14:textId="77777777" w:rsidR="00B4737B" w:rsidRPr="00307C3C" w:rsidRDefault="00B4737B" w:rsidP="007175D4">
            <w:pPr>
              <w:rPr>
                <w:rFonts w:asciiTheme="minorHAnsi" w:hAnsiTheme="minorHAnsi" w:cstheme="minorHAnsi"/>
                <w:sz w:val="16"/>
                <w:szCs w:val="16"/>
              </w:rPr>
            </w:pPr>
          </w:p>
          <w:p w14:paraId="1F3AECFA" w14:textId="77777777" w:rsidR="00B4737B" w:rsidRPr="00307C3C" w:rsidRDefault="00B4737B" w:rsidP="007175D4">
            <w:pPr>
              <w:rPr>
                <w:rFonts w:cs="Calibri"/>
                <w:i/>
                <w:sz w:val="16"/>
                <w:szCs w:val="16"/>
              </w:rPr>
            </w:pPr>
            <w:r w:rsidRPr="00307C3C">
              <w:rPr>
                <w:rFonts w:cs="Calibri"/>
                <w:i/>
                <w:sz w:val="16"/>
                <w:szCs w:val="16"/>
              </w:rPr>
              <w:t>Principle 1: Human Rights, question 1.1;</w:t>
            </w:r>
          </w:p>
          <w:p w14:paraId="32A2064B" w14:textId="77777777" w:rsidR="00B4737B" w:rsidRPr="00307C3C" w:rsidRDefault="00B4737B" w:rsidP="007175D4">
            <w:pPr>
              <w:rPr>
                <w:rFonts w:cs="Calibri"/>
                <w:i/>
                <w:sz w:val="16"/>
                <w:szCs w:val="16"/>
              </w:rPr>
            </w:pPr>
            <w:r w:rsidRPr="00307C3C">
              <w:rPr>
                <w:rFonts w:cs="Calibri"/>
                <w:i/>
                <w:sz w:val="16"/>
                <w:szCs w:val="16"/>
              </w:rPr>
              <w:t>Principle 2 Gender Equality and Women’s Empowerment, 2.3;</w:t>
            </w:r>
          </w:p>
          <w:p w14:paraId="0CD82C10" w14:textId="77777777" w:rsidR="00B4737B" w:rsidRPr="00307C3C" w:rsidRDefault="00B4737B" w:rsidP="007175D4">
            <w:pPr>
              <w:rPr>
                <w:rFonts w:cs="Calibri"/>
                <w:i/>
                <w:sz w:val="16"/>
                <w:szCs w:val="16"/>
              </w:rPr>
            </w:pPr>
            <w:r w:rsidRPr="00307C3C">
              <w:rPr>
                <w:rFonts w:cs="Calibri"/>
                <w:i/>
                <w:sz w:val="16"/>
                <w:szCs w:val="16"/>
              </w:rPr>
              <w:t>Standard 4: Cultural Heritage, 4.5;</w:t>
            </w:r>
          </w:p>
          <w:p w14:paraId="5C1F19DC" w14:textId="77777777" w:rsidR="00B4737B" w:rsidRPr="00307C3C" w:rsidRDefault="00B4737B" w:rsidP="007175D4">
            <w:pPr>
              <w:rPr>
                <w:rFonts w:cs="Calibri"/>
                <w:i/>
                <w:sz w:val="16"/>
                <w:szCs w:val="16"/>
              </w:rPr>
            </w:pPr>
            <w:r w:rsidRPr="00307C3C">
              <w:rPr>
                <w:rFonts w:cs="Calibri"/>
                <w:i/>
                <w:sz w:val="16"/>
                <w:szCs w:val="16"/>
              </w:rPr>
              <w:t>Standard 5: Displacement and Resettlement, 5.4.</w:t>
            </w:r>
          </w:p>
        </w:tc>
        <w:tc>
          <w:tcPr>
            <w:tcW w:w="1170" w:type="dxa"/>
          </w:tcPr>
          <w:p w14:paraId="302FE1AB"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37F1214F"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3897926A" w14:textId="77777777" w:rsidR="00B4737B" w:rsidRPr="00307C3C" w:rsidRDefault="00B4737B" w:rsidP="007175D4">
            <w:pPr>
              <w:jc w:val="center"/>
              <w:rPr>
                <w:rFonts w:asciiTheme="minorHAnsi" w:hAnsiTheme="minorHAnsi" w:cstheme="minorHAnsi"/>
                <w:b/>
                <w:sz w:val="16"/>
                <w:szCs w:val="16"/>
              </w:rPr>
            </w:pPr>
          </w:p>
          <w:p w14:paraId="29D8C79F"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C6EF3CD" w14:textId="77777777" w:rsidR="00B4737B" w:rsidRPr="00307C3C" w:rsidRDefault="00B4737B" w:rsidP="007175D4">
            <w:pPr>
              <w:rPr>
                <w:sz w:val="16"/>
                <w:szCs w:val="16"/>
              </w:rPr>
            </w:pPr>
            <w:r w:rsidRPr="00307C3C">
              <w:rPr>
                <w:sz w:val="16"/>
                <w:szCs w:val="16"/>
              </w:rPr>
              <w:t xml:space="preserve">Farming communities (including minority communities) are integral to project design and implementation. The project aims to ensure farming communities are central to business partnerships and value chains to ensure that they </w:t>
            </w:r>
            <w:proofErr w:type="gramStart"/>
            <w:r w:rsidRPr="00307C3C">
              <w:rPr>
                <w:sz w:val="16"/>
                <w:szCs w:val="16"/>
              </w:rPr>
              <w:t>are able to</w:t>
            </w:r>
            <w:proofErr w:type="gramEnd"/>
            <w:r w:rsidRPr="00307C3C">
              <w:rPr>
                <w:sz w:val="16"/>
                <w:szCs w:val="16"/>
              </w:rPr>
              <w:t xml:space="preserve">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478C05E5" w14:textId="77777777" w:rsidR="00B4737B" w:rsidRPr="00307C3C" w:rsidRDefault="00B4737B" w:rsidP="007175D4">
            <w:pPr>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1CAF6EF" w14:textId="77777777" w:rsidR="00B4737B" w:rsidRPr="00307C3C" w:rsidRDefault="00B4737B" w:rsidP="007175D4">
            <w:pPr>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4270195F"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B4737B" w:rsidRPr="00307C3C" w14:paraId="215C4AF3" w14:textId="77777777" w:rsidTr="007175D4">
        <w:trPr>
          <w:jc w:val="center"/>
        </w:trPr>
        <w:tc>
          <w:tcPr>
            <w:tcW w:w="1802" w:type="dxa"/>
          </w:tcPr>
          <w:p w14:paraId="0E5D19F9" w14:textId="77777777" w:rsidR="00B4737B" w:rsidRPr="00307C3C" w:rsidRDefault="00B4737B" w:rsidP="007175D4">
            <w:pPr>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24BA1424" w14:textId="77777777" w:rsidR="00B4737B" w:rsidRPr="00307C3C" w:rsidRDefault="00B4737B" w:rsidP="007175D4">
            <w:pPr>
              <w:rPr>
                <w:sz w:val="16"/>
                <w:szCs w:val="16"/>
              </w:rPr>
            </w:pPr>
          </w:p>
          <w:p w14:paraId="11A362C7" w14:textId="77777777" w:rsidR="00B4737B" w:rsidRPr="00307C3C" w:rsidRDefault="00B4737B" w:rsidP="007175D4">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Pr>
                <w:rFonts w:ascii="Calibri" w:hAnsi="Calibri" w:cs="Calibri"/>
                <w:i/>
                <w:sz w:val="16"/>
                <w:szCs w:val="16"/>
              </w:rPr>
              <w:t>.</w:t>
            </w:r>
            <w:r w:rsidRPr="00307C3C">
              <w:rPr>
                <w:rFonts w:cs="Calibri"/>
                <w:i/>
                <w:sz w:val="16"/>
                <w:szCs w:val="16"/>
              </w:rPr>
              <w:t xml:space="preserve"> </w:t>
            </w:r>
          </w:p>
        </w:tc>
        <w:tc>
          <w:tcPr>
            <w:tcW w:w="1170" w:type="dxa"/>
          </w:tcPr>
          <w:p w14:paraId="44111A86"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5F33634A"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5174FB34" w14:textId="77777777" w:rsidR="00B4737B" w:rsidRPr="00307C3C" w:rsidRDefault="00B4737B" w:rsidP="007175D4">
            <w:pPr>
              <w:jc w:val="center"/>
              <w:rPr>
                <w:rFonts w:asciiTheme="minorHAnsi" w:hAnsiTheme="minorHAnsi" w:cstheme="minorHAnsi"/>
                <w:b/>
                <w:sz w:val="16"/>
                <w:szCs w:val="16"/>
              </w:rPr>
            </w:pPr>
          </w:p>
          <w:p w14:paraId="0FD5D442"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193C9DB4" w14:textId="77777777" w:rsidR="00B4737B" w:rsidRPr="00307C3C" w:rsidRDefault="00B4737B" w:rsidP="007175D4">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457ABEEF" w14:textId="77777777" w:rsidR="00B4737B" w:rsidRPr="00307C3C" w:rsidRDefault="00B4737B" w:rsidP="007175D4">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10FBA7AD"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B4737B" w:rsidRPr="00307C3C" w14:paraId="6765F374" w14:textId="77777777" w:rsidTr="007175D4">
        <w:trPr>
          <w:jc w:val="center"/>
        </w:trPr>
        <w:tc>
          <w:tcPr>
            <w:tcW w:w="1802" w:type="dxa"/>
          </w:tcPr>
          <w:p w14:paraId="6CB42178"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5574E696" w14:textId="77777777" w:rsidR="00B4737B" w:rsidRPr="00307C3C" w:rsidRDefault="00B4737B" w:rsidP="007175D4">
            <w:pPr>
              <w:rPr>
                <w:rFonts w:asciiTheme="minorHAnsi" w:hAnsiTheme="minorHAnsi" w:cstheme="minorHAnsi"/>
                <w:sz w:val="16"/>
                <w:szCs w:val="16"/>
              </w:rPr>
            </w:pPr>
          </w:p>
          <w:p w14:paraId="00BEFB36"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39B7FD9E"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2895650"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49C11E0B" w14:textId="77777777" w:rsidR="00B4737B" w:rsidRPr="00307C3C" w:rsidRDefault="00B4737B" w:rsidP="007175D4">
            <w:pPr>
              <w:jc w:val="center"/>
              <w:rPr>
                <w:rFonts w:asciiTheme="minorHAnsi" w:hAnsiTheme="minorHAnsi" w:cstheme="minorHAnsi"/>
                <w:b/>
                <w:sz w:val="16"/>
                <w:szCs w:val="16"/>
              </w:rPr>
            </w:pPr>
          </w:p>
          <w:p w14:paraId="10AA63D1"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3C3F7E7" w14:textId="77777777" w:rsidR="00B4737B" w:rsidRPr="00307C3C" w:rsidRDefault="00B4737B" w:rsidP="007175D4">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400A54DA"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B4737B" w:rsidRPr="00307C3C" w14:paraId="0EF498A7" w14:textId="77777777" w:rsidTr="007175D4">
        <w:trPr>
          <w:jc w:val="center"/>
        </w:trPr>
        <w:tc>
          <w:tcPr>
            <w:tcW w:w="1802" w:type="dxa"/>
          </w:tcPr>
          <w:p w14:paraId="4D399530"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 xml:space="preserve">Increased farming of GRFA </w:t>
            </w:r>
            <w:proofErr w:type="gramStart"/>
            <w:r w:rsidRPr="00307C3C">
              <w:rPr>
                <w:sz w:val="16"/>
                <w:szCs w:val="16"/>
              </w:rPr>
              <w:t>varieties  could</w:t>
            </w:r>
            <w:proofErr w:type="gramEnd"/>
            <w:r w:rsidRPr="00307C3C">
              <w:rPr>
                <w:sz w:val="16"/>
                <w:szCs w:val="16"/>
              </w:rPr>
              <w:t xml:space="preserve"> entail an increase in the quantity of agrochemicals applied, potentially impacting the environment or human health</w:t>
            </w:r>
            <w:r w:rsidRPr="00307C3C">
              <w:rPr>
                <w:rFonts w:asciiTheme="minorHAnsi" w:hAnsiTheme="minorHAnsi" w:cstheme="minorHAnsi"/>
                <w:sz w:val="16"/>
                <w:szCs w:val="16"/>
              </w:rPr>
              <w:t>.</w:t>
            </w:r>
          </w:p>
          <w:p w14:paraId="351D296E" w14:textId="77777777" w:rsidR="00B4737B" w:rsidRPr="00307C3C" w:rsidRDefault="00B4737B" w:rsidP="007175D4">
            <w:pPr>
              <w:rPr>
                <w:rFonts w:asciiTheme="minorHAnsi" w:hAnsiTheme="minorHAnsi" w:cstheme="minorHAnsi"/>
                <w:sz w:val="16"/>
                <w:szCs w:val="16"/>
              </w:rPr>
            </w:pPr>
          </w:p>
          <w:p w14:paraId="3ACB3661"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20F203C7" w14:textId="77777777" w:rsidR="00B4737B" w:rsidRPr="00307C3C" w:rsidRDefault="00B4737B" w:rsidP="007175D4">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7F87A947"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12760DA5" w14:textId="77777777" w:rsidR="00B4737B" w:rsidRPr="00307C3C" w:rsidRDefault="00B4737B" w:rsidP="007175D4">
            <w:pPr>
              <w:jc w:val="center"/>
              <w:rPr>
                <w:rFonts w:asciiTheme="minorHAnsi" w:hAnsiTheme="minorHAnsi" w:cstheme="minorHAnsi"/>
                <w:b/>
                <w:sz w:val="16"/>
                <w:szCs w:val="16"/>
              </w:rPr>
            </w:pPr>
          </w:p>
          <w:p w14:paraId="55F6285D" w14:textId="77777777" w:rsidR="00B4737B" w:rsidRPr="00307C3C" w:rsidRDefault="00B4737B" w:rsidP="007175D4">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77652E" w14:textId="77777777" w:rsidR="00B4737B" w:rsidRPr="00307C3C" w:rsidRDefault="00B4737B" w:rsidP="007175D4">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0271770C" w14:textId="77777777" w:rsidR="00B4737B" w:rsidRPr="00307C3C" w:rsidRDefault="00B4737B" w:rsidP="007175D4">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55F0B8F6" w14:textId="77777777" w:rsidR="00B4737B" w:rsidRPr="00307C3C" w:rsidRDefault="00B4737B" w:rsidP="007175D4">
            <w:pPr>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1"/>
    </w:tbl>
    <w:p w14:paraId="09BD777C" w14:textId="77777777" w:rsidR="00B4737B" w:rsidRDefault="00B4737B"/>
    <w:sectPr w:rsidR="00B473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37B"/>
    <w:rsid w:val="0059688A"/>
    <w:rsid w:val="00B4737B"/>
    <w:rsid w:val="00C2649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EEE14"/>
  <w15:chartTrackingRefBased/>
  <w15:docId w15:val="{F7BD87C8-C03C-456F-93E8-0549B4E4B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B4737B"/>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4737B"/>
    <w:pPr>
      <w:autoSpaceDE w:val="0"/>
      <w:autoSpaceDN w:val="0"/>
      <w:adjustRightInd w:val="0"/>
      <w:spacing w:after="0" w:line="240" w:lineRule="auto"/>
    </w:pPr>
    <w:rPr>
      <w:rFonts w:ascii="Arial" w:eastAsia="MS Mincho" w:hAnsi="Arial" w:cs="Arial"/>
      <w:color w:val="00000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H_5822_CSAP_Hubei_UNDP Risk Log_12Mar2019</DocumentTitle>
  </documentManagement>
</p:properties>
</file>

<file path=customXml/itemProps1.xml><?xml version="1.0" encoding="utf-8"?>
<ds:datastoreItem xmlns:ds="http://schemas.openxmlformats.org/officeDocument/2006/customXml" ds:itemID="{88F25474-B470-42AF-AFFB-7B807BCCEB80}"/>
</file>

<file path=customXml/itemProps2.xml><?xml version="1.0" encoding="utf-8"?>
<ds:datastoreItem xmlns:ds="http://schemas.openxmlformats.org/officeDocument/2006/customXml" ds:itemID="{C30E3CE3-DF10-4891-97CC-35C822AFCB62}"/>
</file>

<file path=customXml/itemProps3.xml><?xml version="1.0" encoding="utf-8"?>
<ds:datastoreItem xmlns:ds="http://schemas.openxmlformats.org/officeDocument/2006/customXml" ds:itemID="{9D121341-13BB-4599-A22B-A725BC2C1B38}"/>
</file>

<file path=docProps/app.xml><?xml version="1.0" encoding="utf-8"?>
<Properties xmlns="http://schemas.openxmlformats.org/officeDocument/2006/extended-properties" xmlns:vt="http://schemas.openxmlformats.org/officeDocument/2006/docPropsVTypes">
  <Template>Normal.dotm</Template>
  <TotalTime>0</TotalTime>
  <Pages>4</Pages>
  <Words>2188</Words>
  <Characters>12477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Pakamon Pinprayoon</dc:creator>
  <cp:keywords/>
  <dc:description/>
  <cp:lastModifiedBy>Carline Jean-Louis</cp:lastModifiedBy>
  <cp:revision>2</cp:revision>
  <dcterms:created xsi:type="dcterms:W3CDTF">2019-03-28T18:47:00Z</dcterms:created>
  <dcterms:modified xsi:type="dcterms:W3CDTF">2019-03-28T18:47:00Z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